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6FB7" w14:textId="187C57E0" w:rsidR="00DE3CF4" w:rsidRPr="002E5D7E" w:rsidRDefault="00DE3CF4" w:rsidP="00DE3C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ЧАКЫРУУГА </w:t>
      </w:r>
      <w:r w:rsidR="005826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 ТИРКЕМЕ</w:t>
      </w:r>
    </w:p>
    <w:p w14:paraId="47258756" w14:textId="1B7BE23F" w:rsidR="008049DC" w:rsidRPr="002E5D7E" w:rsidRDefault="00F417F6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БАА СУНУШУ </w:t>
      </w:r>
      <w:r w:rsidR="008049DC"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5C5C038" w14:textId="72DD12E1" w:rsidR="008049DC" w:rsidRPr="002E5D7E" w:rsidRDefault="00F13A0F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3A0F"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торго</w:t>
      </w:r>
      <w:proofErr w:type="spellEnd"/>
      <w:r w:rsidRPr="00F13A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№1, №2, №3, №4</w:t>
      </w:r>
    </w:p>
    <w:p w14:paraId="0E6BCCE2" w14:textId="77777777" w:rsidR="008049DC" w:rsidRPr="002E5D7E" w:rsidRDefault="008049DC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9FB7D7" w14:textId="77777777" w:rsidR="008049DC" w:rsidRPr="002E5D7E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25CA6B9" w14:textId="4A49A74C" w:rsidR="008049DC" w:rsidRPr="00797ED5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>ЖЕТКИРҮҮНҮН ШАРТТАРЫ</w:t>
      </w:r>
      <w:r w:rsidR="00791BF4" w:rsidRPr="00791BF4">
        <w:t xml:space="preserve"> </w:t>
      </w:r>
      <w:r w:rsidR="00D85A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ЖАНА У</w:t>
      </w:r>
      <w:r w:rsidR="00791BF4" w:rsidRPr="00791BF4">
        <w:rPr>
          <w:rFonts w:ascii="Times New Roman" w:eastAsia="Times New Roman" w:hAnsi="Times New Roman" w:cs="Times New Roman"/>
          <w:b/>
          <w:bCs/>
          <w:sz w:val="24"/>
          <w:szCs w:val="24"/>
        </w:rPr>
        <w:t>БАКТЫСЫ</w:t>
      </w:r>
    </w:p>
    <w:bookmarkEnd w:id="0"/>
    <w:p w14:paraId="3774C519" w14:textId="77777777" w:rsidR="008049DC" w:rsidRPr="00797ED5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5BA2B46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1543"/>
        <w:gridCol w:w="1226"/>
        <w:gridCol w:w="1650"/>
        <w:gridCol w:w="1650"/>
        <w:gridCol w:w="2109"/>
      </w:tblGrid>
      <w:tr w:rsidR="005B3FE8" w:rsidRPr="004E02A6" w14:paraId="3B6E5A01" w14:textId="77777777" w:rsidTr="005B3FE8">
        <w:tc>
          <w:tcPr>
            <w:tcW w:w="876" w:type="dxa"/>
            <w:shd w:val="clear" w:color="auto" w:fill="auto"/>
          </w:tcPr>
          <w:p w14:paraId="221AE915" w14:textId="42376E69" w:rsidR="008049DC" w:rsidRPr="00D85A2D" w:rsidRDefault="00D85A2D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543" w:type="dxa"/>
            <w:shd w:val="clear" w:color="auto" w:fill="auto"/>
          </w:tcPr>
          <w:p w14:paraId="0A6EBED3" w14:textId="77777777" w:rsidR="006835BF" w:rsidRDefault="006835BF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Товардын</w:t>
            </w:r>
            <w:proofErr w:type="spellEnd"/>
          </w:p>
          <w:p w14:paraId="7D6C9D7F" w14:textId="6889D2F4" w:rsidR="008049DC" w:rsidRPr="00797ED5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баяндамасы</w:t>
            </w:r>
            <w:proofErr w:type="spellEnd"/>
          </w:p>
        </w:tc>
        <w:tc>
          <w:tcPr>
            <w:tcW w:w="1258" w:type="dxa"/>
          </w:tcPr>
          <w:p w14:paraId="4AE30D4B" w14:textId="4DF88F91" w:rsidR="008049DC" w:rsidRPr="00797ED5" w:rsidRDefault="005A711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Өлчөө</w:t>
            </w:r>
            <w:proofErr w:type="spellEnd"/>
            <w:r w:rsidRPr="005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бирдиги</w:t>
            </w:r>
            <w:proofErr w:type="spellEnd"/>
          </w:p>
        </w:tc>
        <w:tc>
          <w:tcPr>
            <w:tcW w:w="1650" w:type="dxa"/>
            <w:shd w:val="clear" w:color="auto" w:fill="auto"/>
          </w:tcPr>
          <w:p w14:paraId="0381CF57" w14:textId="60FD12D5" w:rsidR="008049DC" w:rsidRPr="00090221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32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Салыктарды</w:t>
            </w:r>
            <w:proofErr w:type="spellEnd"/>
            <w:r w:rsidRPr="00432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2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кошпогондо</w:t>
            </w:r>
            <w:proofErr w:type="spellEnd"/>
            <w:r w:rsidRPr="00432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09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Сом </w:t>
            </w:r>
            <w:proofErr w:type="spellStart"/>
            <w:r w:rsidR="0009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менен</w:t>
            </w:r>
            <w:proofErr w:type="spellEnd"/>
            <w:r w:rsidRPr="00432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2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баа</w:t>
            </w:r>
            <w:r w:rsidR="0009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сы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25FBEEF6" w14:textId="45194651" w:rsidR="008049DC" w:rsidRPr="004327BF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C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Салыктарды</w:t>
            </w:r>
            <w:proofErr w:type="spellEnd"/>
            <w:r w:rsidRPr="00FC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кошкондо</w:t>
            </w:r>
            <w:proofErr w:type="spellEnd"/>
            <w:r w:rsidRPr="00FC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32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Сом </w:t>
            </w:r>
            <w:proofErr w:type="spellStart"/>
            <w:r w:rsidR="00432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менен</w:t>
            </w:r>
            <w:proofErr w:type="spellEnd"/>
            <w:r w:rsidRPr="00FC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баа</w:t>
            </w:r>
            <w:r w:rsidR="00432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сы</w:t>
            </w:r>
            <w:proofErr w:type="spellEnd"/>
          </w:p>
        </w:tc>
        <w:tc>
          <w:tcPr>
            <w:tcW w:w="2214" w:type="dxa"/>
            <w:shd w:val="clear" w:color="auto" w:fill="auto"/>
          </w:tcPr>
          <w:p w14:paraId="4D0B093D" w14:textId="41D549B7" w:rsidR="008049DC" w:rsidRPr="00797ED5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Бардык</w:t>
            </w:r>
            <w:proofErr w:type="spellEnd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колдонулуучу</w:t>
            </w:r>
            <w:proofErr w:type="spellEnd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салыктарды</w:t>
            </w:r>
            <w:proofErr w:type="spellEnd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жана</w:t>
            </w:r>
            <w:proofErr w:type="spellEnd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Кумтор </w:t>
            </w:r>
            <w:proofErr w:type="spellStart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кенинин</w:t>
            </w:r>
            <w:proofErr w:type="spellEnd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кампасына</w:t>
            </w:r>
            <w:proofErr w:type="spellEnd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жеткирүүнү</w:t>
            </w:r>
            <w:proofErr w:type="spellEnd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кошкондо</w:t>
            </w:r>
            <w:proofErr w:type="spellEnd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="00FC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ом</w:t>
            </w:r>
            <w:r w:rsidR="00FC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C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менен</w:t>
            </w:r>
            <w:proofErr w:type="spellEnd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баа</w:t>
            </w:r>
            <w:r w:rsidR="00FC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сы</w:t>
            </w:r>
            <w:proofErr w:type="spellEnd"/>
          </w:p>
        </w:tc>
      </w:tr>
      <w:tr w:rsidR="005B3FE8" w:rsidRPr="00797ED5" w14:paraId="44750BCC" w14:textId="77777777" w:rsidTr="005B3FE8">
        <w:tc>
          <w:tcPr>
            <w:tcW w:w="876" w:type="dxa"/>
            <w:shd w:val="clear" w:color="auto" w:fill="auto"/>
          </w:tcPr>
          <w:p w14:paraId="137FA0F9" w14:textId="08C191EC" w:rsidR="00F761BE" w:rsidRPr="00797ED5" w:rsidRDefault="00F761BE" w:rsidP="00F761B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24F244F" w14:textId="1C6F23D2" w:rsidR="00F761BE" w:rsidRPr="00F761BE" w:rsidRDefault="00F761BE" w:rsidP="00F7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</w:tcPr>
          <w:p w14:paraId="5130B8D9" w14:textId="3F8B0098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shd w:val="clear" w:color="auto" w:fill="auto"/>
          </w:tcPr>
          <w:p w14:paraId="553047FB" w14:textId="77777777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14:paraId="38463848" w14:textId="77777777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78EA02A9" w14:textId="77777777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FE8" w:rsidRPr="00797ED5" w14:paraId="55D90BF5" w14:textId="77777777" w:rsidTr="005B3FE8">
        <w:trPr>
          <w:trHeight w:val="224"/>
        </w:trPr>
        <w:tc>
          <w:tcPr>
            <w:tcW w:w="876" w:type="dxa"/>
            <w:shd w:val="clear" w:color="auto" w:fill="auto"/>
          </w:tcPr>
          <w:p w14:paraId="59527B6E" w14:textId="0507B2FA" w:rsidR="00F761BE" w:rsidRPr="00797ED5" w:rsidRDefault="00F761BE" w:rsidP="00F761B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C56217F" w14:textId="6D5C456D" w:rsidR="00F761BE" w:rsidRPr="00F761BE" w:rsidRDefault="00F761BE" w:rsidP="00F7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</w:tcPr>
          <w:p w14:paraId="1F4FEC9D" w14:textId="52A2954B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shd w:val="clear" w:color="auto" w:fill="auto"/>
          </w:tcPr>
          <w:p w14:paraId="583516F4" w14:textId="77777777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14:paraId="07BE7944" w14:textId="77777777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313EEB63" w14:textId="77777777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FE8" w:rsidRPr="00797ED5" w14:paraId="1580797B" w14:textId="77777777" w:rsidTr="005B3FE8">
        <w:tc>
          <w:tcPr>
            <w:tcW w:w="876" w:type="dxa"/>
            <w:shd w:val="clear" w:color="auto" w:fill="auto"/>
          </w:tcPr>
          <w:p w14:paraId="02AC8B6D" w14:textId="1369C2B1" w:rsidR="00F761BE" w:rsidRPr="00797ED5" w:rsidRDefault="00F761BE" w:rsidP="00F761BE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06D8AC6" w14:textId="2CAD0BBB" w:rsidR="00F761BE" w:rsidRPr="00F761BE" w:rsidRDefault="00F761BE" w:rsidP="00F7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</w:tcPr>
          <w:p w14:paraId="75718DEB" w14:textId="4246426D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shd w:val="clear" w:color="auto" w:fill="auto"/>
          </w:tcPr>
          <w:p w14:paraId="205E65DC" w14:textId="77777777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14:paraId="60767B91" w14:textId="77777777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3C6F50ED" w14:textId="77777777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3FF8355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38B6357" w14:textId="64071345" w:rsidR="008049DC" w:rsidRPr="00437655" w:rsidRDefault="008049DC" w:rsidP="008049DC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Товарды</w:t>
      </w:r>
      <w:proofErr w:type="spellEnd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жеткирүү</w:t>
      </w:r>
      <w:proofErr w:type="spellEnd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: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Берүүчү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алуучунун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алдын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ала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өтүнүчү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боюнча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өзүнчө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партиялар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менен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жеткирет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Алдын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ала </w:t>
      </w:r>
      <w:proofErr w:type="spellStart"/>
      <w:r w:rsidR="00EC6B5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табыштама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Берүүчүгө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сунушталган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жеткирүү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күнүнө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чейин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5 (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беш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календардык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күндөн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кечиктирбестен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электрондук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почта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аркылуу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берилүүгө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тийиш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51F9C712" w14:textId="155F8777" w:rsidR="008049DC" w:rsidRPr="00E87925" w:rsidRDefault="00FE5503" w:rsidP="008049DC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FE55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Айыптык</w:t>
      </w:r>
      <w:proofErr w:type="spellEnd"/>
      <w:r w:rsidRPr="00FE55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FE55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санкциялар</w:t>
      </w:r>
      <w:proofErr w:type="spellEnd"/>
      <w:r w:rsidR="008049DC" w:rsidRPr="002E5D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Берүүчү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тарабынан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келишимдин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шарттары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бузулган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учурда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алуучу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Берүүчүгө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келишимдин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жалпы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суммасынын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кечиктирилген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бир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күнү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үчүн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0,1%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өлчөмүндө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айып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салууга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укуктуу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бирок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келишим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суммасынан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10%дан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ашпаган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өлчөмдө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айып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салууга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укуктуу</w:t>
      </w:r>
      <w:proofErr w:type="spellEnd"/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7656CE4F" w14:textId="77777777" w:rsidR="008049DC" w:rsidRPr="00797ED5" w:rsidRDefault="008049DC" w:rsidP="008049DC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Жеткирүү</w:t>
      </w:r>
      <w:proofErr w:type="spellEnd"/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жана</w:t>
      </w:r>
      <w:proofErr w:type="spellEnd"/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A4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документтер</w:t>
      </w:r>
      <w:proofErr w:type="spellEnd"/>
      <w:r w:rsidRPr="00797ED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7B35A58E" w14:textId="227D50B3" w:rsidR="008049DC" w:rsidRPr="00797ED5" w:rsidRDefault="008049DC" w:rsidP="008049D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Товарларды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жеткирүү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мындай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түрдөгү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товарларды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ташуу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үчүн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атайын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жабдылган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транспортто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санитардык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нормаларды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температуралык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режимдерди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сактоо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менен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="00CB71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</w:t>
      </w:r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атып</w:t>
      </w:r>
      <w:proofErr w:type="spellEnd"/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CB71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луучунун</w:t>
      </w:r>
      <w:proofErr w:type="spellEnd"/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Ысык-Көл</w:t>
      </w:r>
      <w:proofErr w:type="spellEnd"/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облусу</w:t>
      </w:r>
      <w:proofErr w:type="spellEnd"/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Жети-Өгүз</w:t>
      </w:r>
      <w:proofErr w:type="spellEnd"/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району, </w:t>
      </w:r>
      <w:r w:rsidR="00CB71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</w:t>
      </w:r>
      <w:proofErr w:type="spellStart"/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Кумтөр</w:t>
      </w:r>
      <w:proofErr w:type="spellEnd"/>
      <w:r w:rsidR="00CB71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» </w:t>
      </w:r>
      <w:proofErr w:type="spellStart"/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кени</w:t>
      </w:r>
      <w:r w:rsidR="004B7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нин</w:t>
      </w:r>
      <w:proofErr w:type="spellEnd"/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6A4EB1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кампасын</w:t>
      </w:r>
      <w:r w:rsidR="004B7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proofErr w:type="spellEnd"/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өткөрүп</w:t>
      </w:r>
      <w:proofErr w:type="spellEnd"/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берүү</w:t>
      </w:r>
      <w:proofErr w:type="spellEnd"/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жолу</w:t>
      </w:r>
      <w:proofErr w:type="spellEnd"/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менен</w:t>
      </w:r>
      <w:proofErr w:type="spellEnd"/>
      <w:r w:rsidR="00D10C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10C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жеткизүү</w:t>
      </w:r>
      <w:proofErr w:type="spellEnd"/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541D3856" w14:textId="6896C4BE" w:rsidR="008049DC" w:rsidRPr="00E87925" w:rsidRDefault="008049DC" w:rsidP="00E8792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Берүүчү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бардык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документтерди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5253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луучуга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5253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Техникалык</w:t>
      </w:r>
      <w:proofErr w:type="spellEnd"/>
      <w:r w:rsidR="005253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Тапшырма</w:t>
      </w:r>
      <w:r w:rsidR="005253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нын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жана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Келишимдин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шарттарындагы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талаптарга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ылайык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жөнөтөт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14:paraId="6BB04E67" w14:textId="4AC7610B" w:rsidR="008049DC" w:rsidRPr="0029496C" w:rsidRDefault="008049DC" w:rsidP="00581A68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proofErr w:type="spellStart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Төлөм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Төлөмдөр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Кыргыз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Республикасынын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Мамлекеттик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салык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кызматынын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порталында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электрондук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522D3B" w:rsidRPr="00522D3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товардык-транспорттук</w:t>
      </w:r>
      <w:proofErr w:type="spellEnd"/>
      <w:r w:rsidR="00522D3B" w:rsidRPr="00522D3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522D3B" w:rsidRPr="00522D3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коштомо</w:t>
      </w:r>
      <w:proofErr w:type="spellEnd"/>
      <w:r w:rsidR="00522D3B" w:rsidRPr="00522D3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522D3B" w:rsidRPr="00522D3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кагаз</w:t>
      </w:r>
      <w:r w:rsidR="00522D3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</w:t>
      </w:r>
      <w:proofErr w:type="spellEnd"/>
      <w:r w:rsidR="00522D3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(ЭТТН)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жана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электрондук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эсеп-фактураны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электрондук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счет-фактура)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бергенден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кийин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10 (он)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банктык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күндүн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ичинде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иш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жүзүндө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жеткирилген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көлөмдүн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100%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өлчөмүндө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жүргүзүлөт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65BCBE0D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4D3E3A6" w14:textId="18FDF607" w:rsidR="008049DC" w:rsidRPr="0029496C" w:rsidRDefault="008049DC" w:rsidP="008049DC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Кабыл</w:t>
      </w:r>
      <w:proofErr w:type="spellEnd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алуу</w:t>
      </w:r>
      <w:proofErr w:type="spellEnd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.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жеткирип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берүү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датасы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болуп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Жети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-Огуз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районунун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Ысык-Көл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облусунун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Кумт</w:t>
      </w:r>
      <w:r w:rsidR="00BA17B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кенинде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жайгашкан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A17B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луучунун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кампасына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6372E" w:rsidRPr="00E6372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товардык-транспорттук</w:t>
      </w:r>
      <w:proofErr w:type="spellEnd"/>
      <w:r w:rsidR="00E6372E" w:rsidRPr="00E6372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6372E" w:rsidRPr="00E6372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коштомо</w:t>
      </w:r>
      <w:proofErr w:type="spellEnd"/>
      <w:r w:rsidR="00E6372E" w:rsidRPr="00E6372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6372E" w:rsidRPr="00E6372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кагазы</w:t>
      </w:r>
      <w:r w:rsidR="00E6372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</w:t>
      </w:r>
      <w:proofErr w:type="spellEnd"/>
      <w:r w:rsidR="00E6372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ылайык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кабыл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алынган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датасы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эсептелет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1FD11280" w14:textId="77777777" w:rsidR="008049DC" w:rsidRPr="00797ED5" w:rsidRDefault="008049DC" w:rsidP="008049D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2BF7F02" w14:textId="531F7653" w:rsidR="008049DC" w:rsidRPr="0029496C" w:rsidRDefault="00425C87" w:rsidP="008049DC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lastRenderedPageBreak/>
        <w:t>Кургап</w:t>
      </w:r>
      <w:r w:rsidR="000469D4" w:rsidRPr="000015BC">
        <w:rPr>
          <w:lang w:val="ru-RU"/>
        </w:rPr>
        <w:t xml:space="preserve"> </w:t>
      </w:r>
      <w:r w:rsidR="000469D4" w:rsidRPr="000469D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кичирейүү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 xml:space="preserve"> </w:t>
      </w:r>
      <w:r w:rsidR="008049DC"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/</w:t>
      </w:r>
      <w:proofErr w:type="spellStart"/>
      <w:r w:rsidR="003044F2" w:rsidRPr="000015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салмагын</w:t>
      </w:r>
      <w:proofErr w:type="spellEnd"/>
      <w:r w:rsidR="003044F2" w:rsidRPr="000015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="003044F2" w:rsidRPr="000015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азайтуу</w:t>
      </w:r>
      <w:proofErr w:type="spellEnd"/>
      <w:r w:rsidR="008049DC" w:rsidRPr="002E5D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Тараптар</w:t>
      </w:r>
      <w:proofErr w:type="spellEnd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салмактык</w:t>
      </w:r>
      <w:proofErr w:type="spellEnd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буюмдарды</w:t>
      </w:r>
      <w:proofErr w:type="spellEnd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0015B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</w:t>
      </w:r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ерүүчүлөр</w:t>
      </w:r>
      <w:proofErr w:type="spellEnd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алуучуга</w:t>
      </w:r>
      <w:proofErr w:type="spellEnd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1 (</w:t>
      </w:r>
      <w:proofErr w:type="spellStart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бир</w:t>
      </w:r>
      <w:proofErr w:type="spellEnd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кг </w:t>
      </w:r>
      <w:proofErr w:type="spellStart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салмактан</w:t>
      </w:r>
      <w:proofErr w:type="spellEnd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1% (</w:t>
      </w:r>
      <w:proofErr w:type="spellStart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бир</w:t>
      </w:r>
      <w:proofErr w:type="spellEnd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пайыз</w:t>
      </w:r>
      <w:proofErr w:type="spellEnd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</w:t>
      </w:r>
      <w:proofErr w:type="spellStart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өлчөмүндө</w:t>
      </w:r>
      <w:proofErr w:type="spellEnd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арзандатуу</w:t>
      </w:r>
      <w:proofErr w:type="spellEnd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жөнүндө</w:t>
      </w:r>
      <w:proofErr w:type="spellEnd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макулдашышты</w:t>
      </w:r>
      <w:proofErr w:type="spellEnd"/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777846A4" w14:textId="77777777" w:rsidR="008049DC" w:rsidRPr="00797ED5" w:rsidRDefault="008049DC" w:rsidP="008049DC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C3AF664" w14:textId="453BC890" w:rsidR="008049DC" w:rsidRPr="00797ED5" w:rsidRDefault="008049DC" w:rsidP="008049DC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Кемчиликтер</w:t>
      </w:r>
      <w:proofErr w:type="spellEnd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.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Бардык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кемчиликтер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Сатып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алуучу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тарабынан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билдирилген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күндөн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тартып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күндүн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ичинде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Сатып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алуучуга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эч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кандай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чыгым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E7AB0"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болбостон</w:t>
      </w:r>
      <w:proofErr w:type="spellEnd"/>
      <w:r w:rsidR="008E7AB0"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E7AB0"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Берүүчу</w:t>
      </w:r>
      <w:proofErr w:type="spellEnd"/>
      <w:r w:rsidR="00C825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825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жактан</w:t>
      </w:r>
      <w:proofErr w:type="spellEnd"/>
      <w:r w:rsidR="00C825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жок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кылынууга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тийиш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D0B3B0F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E59B66" w14:textId="43248CBF" w:rsidR="008049DC" w:rsidRPr="00797ED5" w:rsidRDefault="008049DC" w:rsidP="008049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E5D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Товардын</w:t>
      </w:r>
      <w:proofErr w:type="spellEnd"/>
      <w:r w:rsidRPr="002E5D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баасынын</w:t>
      </w:r>
      <w:proofErr w:type="spellEnd"/>
      <w:r w:rsidRPr="002E5D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өзгөрүшү</w:t>
      </w:r>
      <w:proofErr w:type="spellEnd"/>
      <w:r w:rsidRPr="002E5D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.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Берүүчү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алуучуга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бериле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турган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товардын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баасын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өзгөртүү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ниети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жөнүндө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жазуу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жүзүндө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билдирет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ошондой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эле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баанын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өзгөрүшүнүн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себебин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негиздейт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Баанын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өзгөрүшү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жөнүндө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билдирүүлөр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Берүүчү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тарабынан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мөөрү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менен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күбөлөндүрүлгөн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расмий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кат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түрүндө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берилет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Баанын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өзгөрүшү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жөнүндө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билдирүүлөр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Берүүчү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тарабынан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дүйшөмбүдөн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жумага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чейинки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иш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жумасынын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ичинде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алдын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ала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берилет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077044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ерүүчүнүн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билдирүүсүн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алган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күндөн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тартып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15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календардык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күн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өткөндөн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кийин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ишке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ашырылат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Эгерде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Берүүчү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макулдашылган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мөөнөттө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баанын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өзгөрүшү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жөнүндө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маалымат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бербесе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ал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товарды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алуучунун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эсеп</w:t>
      </w:r>
      <w:r w:rsidR="00BF6ABE">
        <w:rPr>
          <w:rFonts w:ascii="Times New Roman" w:eastAsia="Times New Roman" w:hAnsi="Times New Roman" w:cs="Times New Roman"/>
          <w:sz w:val="24"/>
          <w:szCs w:val="24"/>
          <w:lang w:val="ru-RU"/>
        </w:rPr>
        <w:t>тик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базасында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баа</w:t>
      </w:r>
      <w:r w:rsidR="006B3FFA">
        <w:rPr>
          <w:rFonts w:ascii="Times New Roman" w:eastAsia="Times New Roman" w:hAnsi="Times New Roman" w:cs="Times New Roman"/>
          <w:sz w:val="24"/>
          <w:szCs w:val="24"/>
          <w:lang w:val="ru-RU"/>
        </w:rPr>
        <w:t>лар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өзгөргөн</w:t>
      </w:r>
      <w:proofErr w:type="spellEnd"/>
      <w:r w:rsidR="006B3F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B3FFA">
        <w:rPr>
          <w:rFonts w:ascii="Times New Roman" w:eastAsia="Times New Roman" w:hAnsi="Times New Roman" w:cs="Times New Roman"/>
          <w:sz w:val="24"/>
          <w:szCs w:val="24"/>
          <w:lang w:val="ru-RU"/>
        </w:rPr>
        <w:t>учурга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чейин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мур</w:t>
      </w:r>
      <w:r w:rsidR="00B2286A">
        <w:rPr>
          <w:rFonts w:ascii="Times New Roman" w:eastAsia="Times New Roman" w:hAnsi="Times New Roman" w:cs="Times New Roman"/>
          <w:sz w:val="24"/>
          <w:szCs w:val="24"/>
          <w:lang w:val="ru-RU"/>
        </w:rPr>
        <w:t>дагы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баа</w:t>
      </w:r>
      <w:r w:rsidR="00B2286A">
        <w:rPr>
          <w:rFonts w:ascii="Times New Roman" w:eastAsia="Times New Roman" w:hAnsi="Times New Roman" w:cs="Times New Roman"/>
          <w:sz w:val="24"/>
          <w:szCs w:val="24"/>
          <w:lang w:val="ru-RU"/>
        </w:rPr>
        <w:t>лар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боюнча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жеткирүүгө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милдеттүү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56C3E1C" w14:textId="77777777" w:rsidR="00FC5BD8" w:rsidRDefault="00FC5BD8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46C92340" w14:textId="77777777" w:rsidR="00FC5BD8" w:rsidRDefault="00FC5BD8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79364FB4" w14:textId="77777777" w:rsidR="00FC5BD8" w:rsidRDefault="00FC5BD8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65606854" w14:textId="212BDC04" w:rsidR="00E87925" w:rsidRPr="00FC5BD8" w:rsidRDefault="00E8792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Компаниянын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аталышы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E6372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ерүүчү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27776519" w14:textId="1E32A0FF" w:rsidR="00E87925" w:rsidRPr="00FC5BD8" w:rsidRDefault="00E8792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Кызмат</w:t>
      </w:r>
      <w:r w:rsidR="00FA65A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толук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аты</w:t>
      </w:r>
      <w:proofErr w:type="spellEnd"/>
    </w:p>
    <w:p w14:paraId="10ADD8D0" w14:textId="59CFD28A" w:rsidR="00E87925" w:rsidRDefault="00E8792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FA65AD">
        <w:rPr>
          <w:rFonts w:ascii="Times New Roman" w:eastAsia="Times New Roman" w:hAnsi="Times New Roman" w:cs="Times New Roman"/>
          <w:sz w:val="24"/>
          <w:szCs w:val="24"/>
          <w:lang w:val="ky-KG"/>
        </w:rPr>
        <w:t>колу</w:t>
      </w:r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____________/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DD7E82" w:rsidRPr="00DD7E82">
        <w:rPr>
          <w:rFonts w:ascii="Times New Roman" w:eastAsia="Times New Roman" w:hAnsi="Times New Roman" w:cs="Times New Roman"/>
          <w:sz w:val="24"/>
          <w:szCs w:val="24"/>
          <w:lang w:val="ru-RU"/>
        </w:rPr>
        <w:t>өөр</w:t>
      </w:r>
      <w:proofErr w:type="spellEnd"/>
      <w:r w:rsidR="00DD7E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4A0D">
        <w:rPr>
          <w:rFonts w:ascii="Times New Roman" w:eastAsia="Times New Roman" w:hAnsi="Times New Roman" w:cs="Times New Roman"/>
          <w:sz w:val="24"/>
          <w:szCs w:val="24"/>
          <w:lang w:val="ru-RU"/>
        </w:rPr>
        <w:t>коюлчу</w:t>
      </w:r>
      <w:proofErr w:type="spellEnd"/>
      <w:r w:rsidR="00874A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4A0D">
        <w:rPr>
          <w:rFonts w:ascii="Times New Roman" w:eastAsia="Times New Roman" w:hAnsi="Times New Roman" w:cs="Times New Roman"/>
          <w:sz w:val="24"/>
          <w:szCs w:val="24"/>
          <w:lang w:val="ru-RU"/>
        </w:rPr>
        <w:t>жери</w:t>
      </w:r>
      <w:proofErr w:type="spellEnd"/>
    </w:p>
    <w:p w14:paraId="2414AB8E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B26305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BFE80D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0FEE723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8B06F2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79C806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FE511A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4A7482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208BDD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D4CBE3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68A2B2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CB4CF1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69E0F0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4D81CF" w14:textId="4094E957" w:rsidR="00B21437" w:rsidRDefault="00B21437" w:rsidP="00B214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E5D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ЧАКЫРУУГА </w:t>
      </w:r>
      <w:r w:rsidR="008956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2E5D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 ТИРКЕМЕ</w:t>
      </w:r>
    </w:p>
    <w:p w14:paraId="1279AC88" w14:textId="37997433" w:rsidR="00B21437" w:rsidRPr="00085768" w:rsidRDefault="000C1540" w:rsidP="00B214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БАА СУНУШУ</w:t>
      </w:r>
      <w:r w:rsidR="00B21437" w:rsidRPr="000857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0DC9813" w14:textId="70A086EF" w:rsidR="00B21437" w:rsidRPr="002E5D7E" w:rsidRDefault="00B21437" w:rsidP="00B214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ЛОТ </w:t>
      </w:r>
      <w:r w:rsidR="005A4BD9" w:rsidRPr="005A4BD9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="00ED6E5F"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>5,</w:t>
      </w:r>
      <w:r w:rsidR="00ED6E5F" w:rsidRPr="005A4B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6, </w:t>
      </w:r>
      <w:r w:rsidR="005A4BD9" w:rsidRPr="005A4BD9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7, </w:t>
      </w:r>
      <w:r w:rsidR="005A4BD9" w:rsidRPr="005A4BD9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8, </w:t>
      </w:r>
      <w:r w:rsidR="005A4BD9" w:rsidRPr="005A4BD9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9, </w:t>
      </w:r>
      <w:r w:rsidR="005A4BD9" w:rsidRPr="005A4BD9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10, </w:t>
      </w:r>
      <w:r w:rsidR="005A4BD9" w:rsidRPr="005A4BD9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11, </w:t>
      </w:r>
      <w:r w:rsidR="005A4BD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12, </w:t>
      </w:r>
      <w:r w:rsidR="005A4BD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13, </w:t>
      </w:r>
      <w:r w:rsidR="005A4BD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14, </w:t>
      </w:r>
      <w:r w:rsidR="005A4BD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15, </w:t>
      </w:r>
      <w:r w:rsidR="005A4BD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16, </w:t>
      </w:r>
      <w:r w:rsidR="005A4BD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</w:p>
    <w:p w14:paraId="09C2F35D" w14:textId="77777777" w:rsidR="00B21437" w:rsidRPr="002E5D7E" w:rsidRDefault="00B21437" w:rsidP="00B214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FEDDD3" w14:textId="77777777" w:rsidR="00B21437" w:rsidRPr="002E5D7E" w:rsidRDefault="00B21437" w:rsidP="00B2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A90B37B" w14:textId="77777777" w:rsidR="00B21437" w:rsidRPr="00797ED5" w:rsidRDefault="00B21437" w:rsidP="00B2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>ЖЕТКИРҮҮНҮН ШАРТТАРЫ</w:t>
      </w:r>
    </w:p>
    <w:p w14:paraId="2C4248A1" w14:textId="77777777" w:rsidR="00B21437" w:rsidRPr="00797ED5" w:rsidRDefault="00B21437" w:rsidP="00B2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5E92541" w14:textId="77777777" w:rsidR="00B21437" w:rsidRPr="00797ED5" w:rsidRDefault="00B21437" w:rsidP="00B214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1744"/>
        <w:gridCol w:w="1463"/>
        <w:gridCol w:w="1650"/>
        <w:gridCol w:w="1650"/>
        <w:gridCol w:w="1739"/>
      </w:tblGrid>
      <w:tr w:rsidR="00B21437" w:rsidRPr="004E02A6" w14:paraId="550B424C" w14:textId="77777777" w:rsidTr="00F41C20">
        <w:tc>
          <w:tcPr>
            <w:tcW w:w="990" w:type="dxa"/>
            <w:shd w:val="clear" w:color="auto" w:fill="auto"/>
          </w:tcPr>
          <w:p w14:paraId="5C46DD24" w14:textId="70537950" w:rsidR="00B21437" w:rsidRPr="004E02A6" w:rsidRDefault="004E02A6" w:rsidP="00BE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561" w:type="dxa"/>
            <w:shd w:val="clear" w:color="auto" w:fill="auto"/>
          </w:tcPr>
          <w:p w14:paraId="259EA691" w14:textId="77777777" w:rsidR="00B21437" w:rsidRPr="00797ED5" w:rsidRDefault="00B21437" w:rsidP="00BE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Продукт</w:t>
            </w:r>
            <w:proofErr w:type="spellEnd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баяндамасы</w:t>
            </w:r>
            <w:proofErr w:type="spellEnd"/>
          </w:p>
        </w:tc>
        <w:tc>
          <w:tcPr>
            <w:tcW w:w="1171" w:type="dxa"/>
          </w:tcPr>
          <w:p w14:paraId="5268BF26" w14:textId="2734E5C6" w:rsidR="00B21437" w:rsidRPr="00797ED5" w:rsidRDefault="0078053B" w:rsidP="00BE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Бирдиктер</w:t>
            </w:r>
            <w:proofErr w:type="spellEnd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ТЗга</w:t>
            </w:r>
            <w:proofErr w:type="spellEnd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ылайык</w:t>
            </w:r>
            <w:proofErr w:type="spellEnd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1291" w:type="dxa"/>
            <w:shd w:val="clear" w:color="auto" w:fill="auto"/>
          </w:tcPr>
          <w:p w14:paraId="1779F0AB" w14:textId="77777777" w:rsidR="00B21437" w:rsidRPr="00797ED5" w:rsidRDefault="00B21437" w:rsidP="00BE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Салыктарды</w:t>
            </w:r>
            <w:proofErr w:type="spellEnd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кошпогондо</w:t>
            </w:r>
            <w:proofErr w:type="spellEnd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сомдо</w:t>
            </w:r>
            <w:proofErr w:type="spellEnd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баа</w:t>
            </w:r>
            <w:proofErr w:type="spellEnd"/>
          </w:p>
        </w:tc>
        <w:tc>
          <w:tcPr>
            <w:tcW w:w="1461" w:type="dxa"/>
            <w:shd w:val="clear" w:color="auto" w:fill="auto"/>
          </w:tcPr>
          <w:p w14:paraId="3C129E1F" w14:textId="77777777" w:rsidR="00B21437" w:rsidRPr="00797ED5" w:rsidRDefault="00B21437" w:rsidP="00BE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Салыктарды</w:t>
            </w:r>
            <w:proofErr w:type="spellEnd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кошкондо</w:t>
            </w:r>
            <w:proofErr w:type="spellEnd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сомдо</w:t>
            </w:r>
            <w:proofErr w:type="spellEnd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баа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14:paraId="3148E879" w14:textId="1FA16CDD" w:rsidR="00B21437" w:rsidRPr="00797ED5" w:rsidRDefault="00B21437" w:rsidP="00BE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Бардык</w:t>
            </w:r>
            <w:proofErr w:type="spellEnd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колдонулуучу</w:t>
            </w:r>
            <w:proofErr w:type="spellEnd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салыктарды</w:t>
            </w:r>
            <w:proofErr w:type="spellEnd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жана</w:t>
            </w:r>
            <w:proofErr w:type="spellEnd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Бишкектеги</w:t>
            </w:r>
            <w:proofErr w:type="spellEnd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кампага</w:t>
            </w:r>
            <w:proofErr w:type="spellEnd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жеткирүүнү</w:t>
            </w:r>
            <w:proofErr w:type="spellEnd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кошкондо</w:t>
            </w:r>
            <w:proofErr w:type="spellEnd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сомдогу</w:t>
            </w:r>
            <w:proofErr w:type="spellEnd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баа</w:t>
            </w:r>
            <w:proofErr w:type="spellEnd"/>
          </w:p>
        </w:tc>
      </w:tr>
      <w:tr w:rsidR="00B21437" w:rsidRPr="00797ED5" w14:paraId="70D59891" w14:textId="77777777" w:rsidTr="00F41C20">
        <w:tc>
          <w:tcPr>
            <w:tcW w:w="990" w:type="dxa"/>
            <w:shd w:val="clear" w:color="auto" w:fill="auto"/>
          </w:tcPr>
          <w:p w14:paraId="2BFB3D5F" w14:textId="77777777" w:rsidR="00B21437" w:rsidRPr="00797ED5" w:rsidRDefault="00B21437" w:rsidP="00BE1C4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06E1E3B" w14:textId="77777777" w:rsidR="00B21437" w:rsidRPr="00F761BE" w:rsidRDefault="00B21437" w:rsidP="00BE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</w:tcPr>
          <w:p w14:paraId="7B8AAA87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shd w:val="clear" w:color="auto" w:fill="auto"/>
          </w:tcPr>
          <w:p w14:paraId="11BCE8DE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shd w:val="clear" w:color="auto" w:fill="auto"/>
          </w:tcPr>
          <w:p w14:paraId="173E4ED0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14:paraId="4C6243F3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437" w:rsidRPr="00797ED5" w14:paraId="6B3F317B" w14:textId="77777777" w:rsidTr="00F41C20">
        <w:trPr>
          <w:trHeight w:val="224"/>
        </w:trPr>
        <w:tc>
          <w:tcPr>
            <w:tcW w:w="990" w:type="dxa"/>
            <w:shd w:val="clear" w:color="auto" w:fill="auto"/>
          </w:tcPr>
          <w:p w14:paraId="4D4AE3F8" w14:textId="77777777" w:rsidR="00B21437" w:rsidRPr="00797ED5" w:rsidRDefault="00B21437" w:rsidP="00BE1C4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D186D25" w14:textId="77777777" w:rsidR="00B21437" w:rsidRPr="00F761BE" w:rsidRDefault="00B21437" w:rsidP="00BE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</w:tcPr>
          <w:p w14:paraId="3D200C4B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shd w:val="clear" w:color="auto" w:fill="auto"/>
          </w:tcPr>
          <w:p w14:paraId="118469A6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shd w:val="clear" w:color="auto" w:fill="auto"/>
          </w:tcPr>
          <w:p w14:paraId="1FD5B4F6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14:paraId="648C08EC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437" w:rsidRPr="00797ED5" w14:paraId="5805AC5C" w14:textId="77777777" w:rsidTr="00F41C20">
        <w:tc>
          <w:tcPr>
            <w:tcW w:w="990" w:type="dxa"/>
            <w:shd w:val="clear" w:color="auto" w:fill="auto"/>
          </w:tcPr>
          <w:p w14:paraId="725A1D2A" w14:textId="77777777" w:rsidR="00B21437" w:rsidRPr="00797ED5" w:rsidRDefault="00B21437" w:rsidP="00BE1C4B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061DBA3D" w14:textId="77777777" w:rsidR="00B21437" w:rsidRPr="00F761BE" w:rsidRDefault="00B21437" w:rsidP="00BE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</w:tcPr>
          <w:p w14:paraId="3D7E71E1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shd w:val="clear" w:color="auto" w:fill="auto"/>
          </w:tcPr>
          <w:p w14:paraId="36E395A9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shd w:val="clear" w:color="auto" w:fill="auto"/>
          </w:tcPr>
          <w:p w14:paraId="53F154D4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14:paraId="6C501A16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CB234B0" w14:textId="77777777" w:rsidR="00B21437" w:rsidRPr="00797ED5" w:rsidRDefault="00B21437" w:rsidP="00B214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B9C3A07" w14:textId="77777777" w:rsidR="00B21437" w:rsidRPr="00437655" w:rsidRDefault="00B21437" w:rsidP="00B21437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Товарды</w:t>
      </w:r>
      <w:proofErr w:type="spellEnd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жеткирүү</w:t>
      </w:r>
      <w:proofErr w:type="spellEnd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: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Берүүчү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алуучунун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алдын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ала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өтүнүчү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боюнча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өзүнчө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партиялар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менен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жеткирет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Алдын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ала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өтүнмө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Берүүчүгө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сунушталган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жеткирүү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күнүнө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чейин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5 (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беш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календардык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күндөн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кечиктирбестен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электрондук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почта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аркылуу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берилүүгө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тийиш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036ADC37" w14:textId="60F32DAD" w:rsidR="00B21437" w:rsidRPr="00E87925" w:rsidRDefault="00B21437" w:rsidP="00B2143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Айып</w:t>
      </w:r>
      <w:proofErr w:type="spellEnd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пулдар</w:t>
      </w:r>
      <w:proofErr w:type="spellEnd"/>
      <w:r w:rsidRPr="002E5D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Берүүчү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тарабынан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келишимдин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шарттары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бузулган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учурда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алуучу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Берүүчүгө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келишимдин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жалпы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суммасынын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кечиктирилген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бир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күнү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үчүн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0,1%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өлчөмүндө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айып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салууга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укуктуу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бирок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келишим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суммасынан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10%дан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ашпаган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өлчөмдө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айып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салууга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укуктуу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358EC9E7" w14:textId="77777777" w:rsidR="00B21437" w:rsidRPr="00797ED5" w:rsidRDefault="00B21437" w:rsidP="00B2143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Жеткирүү</w:t>
      </w:r>
      <w:proofErr w:type="spellEnd"/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жана</w:t>
      </w:r>
      <w:proofErr w:type="spellEnd"/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97ED5">
        <w:rPr>
          <w:rFonts w:ascii="Times New Roman" w:eastAsia="Times New Roman" w:hAnsi="Times New Roman" w:cs="Times New Roman"/>
          <w:b/>
          <w:sz w:val="24"/>
          <w:szCs w:val="24"/>
        </w:rPr>
        <w:t>документтер</w:t>
      </w:r>
      <w:proofErr w:type="spellEnd"/>
      <w:r w:rsidRPr="00797ED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41E464EE" w14:textId="591E388A" w:rsidR="00B21437" w:rsidRPr="00797ED5" w:rsidRDefault="00B21437" w:rsidP="00B2143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жеткирүү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мындай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түрдөгү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товарларды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ташуу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үчүн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атайын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жабдылган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транспортто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санитардык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нормаларды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температуралык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режимдерди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сактоо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менен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алуучунун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Бишкек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шаары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Ибраимов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көчөсү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24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дареги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боюнча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жайгашкан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кампасына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өткөрүп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берүү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өткөрүп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берүү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жолу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менен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өз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күчтөрү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жана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каражаттары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менен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жүзөгө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ашырылат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7200D945" w14:textId="5ECB5A70" w:rsidR="00B21437" w:rsidRPr="00E87925" w:rsidRDefault="00B21437" w:rsidP="00B2143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Берүүчү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бардык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документтерди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алуучуга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Тапшырманын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талаптарына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жана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Келишимдин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шарттарына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ылайык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жөнөтөт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14:paraId="259C31F7" w14:textId="051D2BF3" w:rsidR="00B21437" w:rsidRPr="0029496C" w:rsidRDefault="00B21437" w:rsidP="00B21437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proofErr w:type="spellStart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Төлөм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Төлөмдөр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Кыргыз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Республикасынын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Мамлекеттик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салык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кызматынын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порталында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электрондук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товар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накладын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(ЭТТН)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жана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электрондук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эсеп-фактураны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электрондук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счет-фактура)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бергенден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кийин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10 (он)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банктык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күндүн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ичинде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иш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жүзүндө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жеткирилген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көлөмдүн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100%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өлчөмүндө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жүргүзүлөт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74359AFB" w14:textId="77777777" w:rsidR="00B21437" w:rsidRPr="00797ED5" w:rsidRDefault="00B21437" w:rsidP="00B214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7878F9C" w14:textId="77777777" w:rsidR="00B21437" w:rsidRPr="0029496C" w:rsidRDefault="00B21437" w:rsidP="00B21437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Кабыл</w:t>
      </w:r>
      <w:proofErr w:type="spellEnd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алуу</w:t>
      </w:r>
      <w:proofErr w:type="spellEnd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.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жеткирип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берүү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датасы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болуп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Жети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-Огуз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районунун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Ысык-Көл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облусунун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Кумтор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кенинде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жайгашкан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алуучунун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кампасына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товар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накладнаясына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ылайык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кабыл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алынган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датасы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эсептелет</w:t>
      </w:r>
      <w:proofErr w:type="spellEnd"/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369D3A66" w14:textId="77777777" w:rsidR="00B21437" w:rsidRPr="00797ED5" w:rsidRDefault="00B21437" w:rsidP="00B2143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8D63604" w14:textId="3F4D86D5" w:rsidR="00B21437" w:rsidRPr="0029496C" w:rsidRDefault="004E02A6" w:rsidP="00B21437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lastRenderedPageBreak/>
        <w:t>Кургап</w:t>
      </w:r>
      <w:r w:rsidRPr="000015BC">
        <w:rPr>
          <w:lang w:val="ru-RU"/>
        </w:rPr>
        <w:t xml:space="preserve"> </w:t>
      </w:r>
      <w:r w:rsidRPr="000469D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кичирейүү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 xml:space="preserve"> </w:t>
      </w:r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/</w:t>
      </w:r>
      <w:proofErr w:type="spellStart"/>
      <w:r w:rsidRPr="000015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салмагын</w:t>
      </w:r>
      <w:proofErr w:type="spellEnd"/>
      <w:r w:rsidRPr="000015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015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азайтуу</w:t>
      </w:r>
      <w:proofErr w:type="spellEnd"/>
      <w:r w:rsidR="00B21437" w:rsidRPr="002E5D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Тараптар</w:t>
      </w:r>
      <w:proofErr w:type="spellEnd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салмактык</w:t>
      </w:r>
      <w:proofErr w:type="spellEnd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буюмдарды</w:t>
      </w:r>
      <w:proofErr w:type="spellEnd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берүүчүлөр</w:t>
      </w:r>
      <w:proofErr w:type="spellEnd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алуучуга</w:t>
      </w:r>
      <w:proofErr w:type="spellEnd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1 (</w:t>
      </w:r>
      <w:proofErr w:type="spellStart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бир</w:t>
      </w:r>
      <w:proofErr w:type="spellEnd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кг </w:t>
      </w:r>
      <w:proofErr w:type="spellStart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салмактан</w:t>
      </w:r>
      <w:proofErr w:type="spellEnd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1% (</w:t>
      </w:r>
      <w:proofErr w:type="spellStart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бир</w:t>
      </w:r>
      <w:proofErr w:type="spellEnd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пайыз</w:t>
      </w:r>
      <w:proofErr w:type="spellEnd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</w:t>
      </w:r>
      <w:proofErr w:type="spellStart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өлчөмүндө</w:t>
      </w:r>
      <w:proofErr w:type="spellEnd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арзандатуу</w:t>
      </w:r>
      <w:proofErr w:type="spellEnd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жөнүндө</w:t>
      </w:r>
      <w:proofErr w:type="spellEnd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макулдашышты</w:t>
      </w:r>
      <w:proofErr w:type="spellEnd"/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5CE324EC" w14:textId="77777777" w:rsidR="00B21437" w:rsidRPr="00797ED5" w:rsidRDefault="00B21437" w:rsidP="00B21437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10C5A0A" w14:textId="47FCA386" w:rsidR="00B21437" w:rsidRPr="00797ED5" w:rsidRDefault="00B21437" w:rsidP="00B2143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Кемчиликтер</w:t>
      </w:r>
      <w:proofErr w:type="spellEnd"/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.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Бардык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кемчиликтер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Сатып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алуучу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тарабынан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билдирилген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күндөн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тартып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күндүн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ичинде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Сатып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алуучуга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эч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кандай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чыгым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E7AB0"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болбостон</w:t>
      </w:r>
      <w:proofErr w:type="spellEnd"/>
      <w:r w:rsidR="008E7AB0"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жок</w:t>
      </w:r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кылынууга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тийиш</w:t>
      </w:r>
      <w:proofErr w:type="spellEnd"/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1E6DF1E" w14:textId="77777777" w:rsidR="00B21437" w:rsidRPr="00797ED5" w:rsidRDefault="00B21437" w:rsidP="00B2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0A3F31" w14:textId="77777777" w:rsidR="00B21437" w:rsidRPr="00797ED5" w:rsidRDefault="00B21437" w:rsidP="00B214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E5D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Товардын</w:t>
      </w:r>
      <w:proofErr w:type="spellEnd"/>
      <w:r w:rsidRPr="002E5D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баасынын</w:t>
      </w:r>
      <w:proofErr w:type="spellEnd"/>
      <w:r w:rsidRPr="002E5D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өзгөрүшү</w:t>
      </w:r>
      <w:proofErr w:type="spellEnd"/>
      <w:r w:rsidRPr="002E5D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.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Берүүчү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алуучуга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бериле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турган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товардын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баасын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өзгөртүү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ниети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жөнүндө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жазуу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жүзүндө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билдирет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ошондой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эле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баанын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өзгөрүшүнүн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себебин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негиздейт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Баанын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өзгөрүшү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жөнүндө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билдирүүлөр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Берүүчү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тарабынан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мөөрү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менен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күбөлөндүрүлгөн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расмий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кат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түрүндө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берилет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Баанын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өзгөрүшү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жөнүндө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билдирүүлөр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Берүүчү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тарабынан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дүйшөмбүдөн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жумага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чейинки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иш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жумасынын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ичинде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алдын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ала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берилет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берүүчүнүн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билдирүүсүн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алган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күндөн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тартып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15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календардык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күн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өткөндөн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кийин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ишке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ашырылат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Эгерде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Берүүчү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макулдашылган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мөөнөттө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баанын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өзгөрүшү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жөнүндө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маалымат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бербесе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ал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товарды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алуучунун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эсеп-эсеп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базасында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баа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өзгөргөнгө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чейин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мурунку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баа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боюнча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жеткирүүгө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милдеттүү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127049A" w14:textId="77777777" w:rsidR="00B21437" w:rsidRDefault="00B21437" w:rsidP="00B21437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00E884EE" w14:textId="77777777" w:rsidR="00B21437" w:rsidRDefault="00B21437" w:rsidP="00B21437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73405109" w14:textId="77777777" w:rsidR="00B21437" w:rsidRDefault="00B21437" w:rsidP="00B21437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0571B76B" w14:textId="77777777" w:rsidR="00B21437" w:rsidRPr="00FC5BD8" w:rsidRDefault="00B21437" w:rsidP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Компаниянын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аталышы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берүүчү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76962729" w14:textId="77777777" w:rsidR="00B21437" w:rsidRPr="00FC5BD8" w:rsidRDefault="00B21437" w:rsidP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Кызмат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орду,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толук</w:t>
      </w:r>
      <w:proofErr w:type="spellEnd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аты</w:t>
      </w:r>
      <w:proofErr w:type="spellEnd"/>
    </w:p>
    <w:p w14:paraId="79693EEF" w14:textId="272A6E46" w:rsidR="00B21437" w:rsidRPr="00FC5BD8" w:rsidRDefault="00B21437" w:rsidP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4BD9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901C4F">
        <w:rPr>
          <w:rFonts w:ascii="Times New Roman" w:eastAsia="Times New Roman" w:hAnsi="Times New Roman" w:cs="Times New Roman"/>
          <w:sz w:val="24"/>
          <w:szCs w:val="24"/>
          <w:lang w:val="ru-RU"/>
        </w:rPr>
        <w:t>колу</w:t>
      </w:r>
      <w:r w:rsidRPr="005A4BD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____________/МП</w:t>
      </w:r>
    </w:p>
    <w:p w14:paraId="54CB9CDC" w14:textId="51107029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55D291" w14:textId="77777777" w:rsidR="00085768" w:rsidRDefault="0008576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2507C8" w14:textId="77777777" w:rsidR="00085768" w:rsidRDefault="0008576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1B284CE" w14:textId="77777777" w:rsidR="00085768" w:rsidRDefault="0008576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57F61F" w14:textId="77777777" w:rsidR="00085768" w:rsidRDefault="0008576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EE269DF" w14:textId="77777777" w:rsidR="00085768" w:rsidRDefault="0008576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4EBFFC" w14:textId="77777777" w:rsidR="00085768" w:rsidRDefault="0008576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30CDB6" w14:textId="77777777" w:rsidR="00901C4F" w:rsidRDefault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3A2102" w14:textId="77777777" w:rsidR="00901C4F" w:rsidRDefault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A84DB2" w14:textId="77777777" w:rsidR="00901C4F" w:rsidRDefault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F62535" w14:textId="77777777" w:rsidR="00901C4F" w:rsidRDefault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F175CD" w14:textId="77777777" w:rsidR="00901C4F" w:rsidRDefault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F090115" w14:textId="77777777" w:rsidR="00901C4F" w:rsidRDefault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9DDE4C" w14:textId="77777777" w:rsidR="00901C4F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№3 К ПРИГЛАШЕНИЮ</w:t>
      </w:r>
    </w:p>
    <w:p w14:paraId="7965CD44" w14:textId="77777777" w:rsidR="00901C4F" w:rsidRPr="008049DC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5180AABB" w14:textId="77777777" w:rsidR="00901C4F" w:rsidRPr="00B21437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1, №2, №3, №4</w:t>
      </w:r>
    </w:p>
    <w:p w14:paraId="502299AE" w14:textId="77777777" w:rsidR="00901C4F" w:rsidRPr="00797ED5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A6E8891" w14:textId="77777777" w:rsidR="00901C4F" w:rsidRPr="00797ED5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5D7A1324" w14:textId="77777777" w:rsidR="00901C4F" w:rsidRPr="00797ED5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p w14:paraId="2F3D3E92" w14:textId="77777777" w:rsidR="00901C4F" w:rsidRPr="00797ED5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B962F7E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763"/>
        <w:gridCol w:w="956"/>
        <w:gridCol w:w="1304"/>
        <w:gridCol w:w="1484"/>
        <w:gridCol w:w="1671"/>
      </w:tblGrid>
      <w:tr w:rsidR="00901C4F" w:rsidRPr="004E02A6" w14:paraId="2E99F872" w14:textId="77777777" w:rsidTr="00870678">
        <w:tc>
          <w:tcPr>
            <w:tcW w:w="551" w:type="dxa"/>
            <w:shd w:val="clear" w:color="auto" w:fill="auto"/>
          </w:tcPr>
          <w:p w14:paraId="2BA8E76A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990" w:type="dxa"/>
            <w:shd w:val="clear" w:color="auto" w:fill="auto"/>
          </w:tcPr>
          <w:p w14:paraId="09C2A3E7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956" w:type="dxa"/>
          </w:tcPr>
          <w:p w14:paraId="0B1698F5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  <w:proofErr w:type="spellEnd"/>
          </w:p>
        </w:tc>
        <w:tc>
          <w:tcPr>
            <w:tcW w:w="1337" w:type="dxa"/>
            <w:shd w:val="clear" w:color="auto" w:fill="auto"/>
          </w:tcPr>
          <w:p w14:paraId="7CF69FC7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сомах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учета налогов</w:t>
            </w:r>
          </w:p>
        </w:tc>
        <w:tc>
          <w:tcPr>
            <w:tcW w:w="1545" w:type="dxa"/>
            <w:shd w:val="clear" w:color="auto" w:fill="auto"/>
          </w:tcPr>
          <w:p w14:paraId="1C5C9F04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сомах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налогов</w:t>
            </w:r>
          </w:p>
        </w:tc>
        <w:tc>
          <w:tcPr>
            <w:tcW w:w="1675" w:type="dxa"/>
            <w:shd w:val="clear" w:color="auto" w:fill="auto"/>
          </w:tcPr>
          <w:p w14:paraId="284D0A89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 общая цена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сомах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учетом всех применимых налогов и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доставкой до склада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рудника «Кумтор»</w:t>
            </w:r>
          </w:p>
        </w:tc>
      </w:tr>
      <w:tr w:rsidR="00901C4F" w:rsidRPr="00797ED5" w14:paraId="2A1CCB71" w14:textId="77777777" w:rsidTr="00870678">
        <w:tc>
          <w:tcPr>
            <w:tcW w:w="551" w:type="dxa"/>
            <w:shd w:val="clear" w:color="auto" w:fill="auto"/>
          </w:tcPr>
          <w:p w14:paraId="63DCFC9D" w14:textId="77777777" w:rsidR="00901C4F" w:rsidRPr="00797ED5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FD3ECA7" w14:textId="77777777" w:rsidR="00901C4F" w:rsidRPr="00F761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702A7F6F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14:paraId="2967AB14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091AEB85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68CA0B34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C4F" w:rsidRPr="00797ED5" w14:paraId="5BC451FD" w14:textId="77777777" w:rsidTr="00870678">
        <w:trPr>
          <w:trHeight w:val="224"/>
        </w:trPr>
        <w:tc>
          <w:tcPr>
            <w:tcW w:w="551" w:type="dxa"/>
            <w:shd w:val="clear" w:color="auto" w:fill="auto"/>
          </w:tcPr>
          <w:p w14:paraId="2DB58A10" w14:textId="77777777" w:rsidR="00901C4F" w:rsidRPr="00797ED5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87E63C0" w14:textId="77777777" w:rsidR="00901C4F" w:rsidRPr="00F761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13C591B9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14:paraId="1D7418F0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09ED618B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72C3C75E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C4F" w:rsidRPr="00797ED5" w14:paraId="6FFF4710" w14:textId="77777777" w:rsidTr="00870678">
        <w:tc>
          <w:tcPr>
            <w:tcW w:w="551" w:type="dxa"/>
            <w:shd w:val="clear" w:color="auto" w:fill="auto"/>
          </w:tcPr>
          <w:p w14:paraId="158A4608" w14:textId="77777777" w:rsidR="00901C4F" w:rsidRPr="00797ED5" w:rsidRDefault="00901C4F" w:rsidP="00870678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4AD62B1" w14:textId="77777777" w:rsidR="00901C4F" w:rsidRPr="00F761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3AB00C93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14:paraId="0EDF2904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2235281E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6C50BA12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F561AD6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5505E7C" w14:textId="77777777" w:rsidR="00901C4F" w:rsidRPr="00437655" w:rsidRDefault="00901C4F" w:rsidP="00901C4F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3765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43765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отдельными партиями по предварительной заявке Покупателя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43765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Предварительная заявка предоставляется Поставщику не позднее 5 (пяти) календарного дня до даты предполагаемой поставки по электронной почте. </w:t>
      </w:r>
    </w:p>
    <w:p w14:paraId="47456D40" w14:textId="77777777" w:rsidR="00901C4F" w:rsidRPr="00E87925" w:rsidRDefault="00901C4F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нарушения Поставщиком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условий договора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Покупатель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вправе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наложить штрафные санкции к Поставщику в размере 0,1% за каждую просроченный день от общей суммы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но не более 10% от суммы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4D7CFE8D" w14:textId="77777777" w:rsidR="00901C4F" w:rsidRPr="00797ED5" w:rsidRDefault="00901C4F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4F3E39F1" w14:textId="77777777" w:rsidR="00901C4F" w:rsidRPr="00797ED5" w:rsidRDefault="00901C4F" w:rsidP="00901C4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Доставка товаров осуществляется Поставщиком собственными силами и средствами на специально оборудованном для перевозки товаров подобного рода транспорте, с соблюдением санитарных норм, температурных режимов, путем их (передачи) на складе Покупателя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 адресу 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Иссык-Кульская область, </w:t>
      </w:r>
      <w:proofErr w:type="spellStart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Джети</w:t>
      </w:r>
      <w:proofErr w:type="spellEnd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-Огузский район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рудник «Кумтор»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141C0C6" w14:textId="77777777" w:rsidR="00901C4F" w:rsidRPr="00E87925" w:rsidRDefault="00901C4F" w:rsidP="00901C4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8792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Поставщик отправляет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все </w:t>
      </w:r>
      <w:r w:rsidRPr="00E8792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документы Покупателю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согласно требованиям в Техническом задании и условиям Договора</w:t>
      </w:r>
      <w:r w:rsidRPr="00E8792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14:paraId="728D26D2" w14:textId="77777777" w:rsidR="00901C4F" w:rsidRPr="0029496C" w:rsidRDefault="00901C4F" w:rsidP="00901C4F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2949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.</w:t>
      </w:r>
      <w:r w:rsidRPr="00E8792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Оплата производ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ится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размере 100% от фактически поставленного объема, после подписания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товарно-транспортной накладн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ой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в течение 10 (десяти) банковских дней</w:t>
      </w:r>
      <w:r w:rsidRPr="00E8792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после выставления электронной товарно-транспортной накладной (ЭТТН) и электронной счет фактуры (ЭСФ) на портале Государственной налоговой службы  Кыргызской Республики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2C173DA7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2A4F0C9" w14:textId="77777777" w:rsidR="00901C4F" w:rsidRPr="0029496C" w:rsidRDefault="00901C4F" w:rsidP="00901C4F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Датой поставки товаров считается дата приемки товаров на складе Покупателя на руднике Кумтор Иссык-Кульская область, </w:t>
      </w:r>
      <w:proofErr w:type="spellStart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Джети</w:t>
      </w:r>
      <w:proofErr w:type="spellEnd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-Огузский район в соответствии с товарно-транспортной накладной.</w:t>
      </w:r>
    </w:p>
    <w:p w14:paraId="5CB5FC93" w14:textId="77777777" w:rsidR="00901C4F" w:rsidRPr="00797ED5" w:rsidRDefault="00901C4F" w:rsidP="00901C4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CA77E06" w14:textId="77777777" w:rsidR="00901C4F" w:rsidRPr="0029496C" w:rsidRDefault="00901C4F" w:rsidP="00901C4F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lastRenderedPageBreak/>
        <w:t>Усушка/</w:t>
      </w:r>
      <w:r w:rsidRPr="002949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Утруска</w:t>
      </w:r>
      <w:r w:rsidRPr="002949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Стороны договорились, что Поставщики весовой продукции предоставляют Покупателю скидку, в размере 1% (одного процента) с 1 (одного) кг веса на естественную убыль весового товара.</w:t>
      </w:r>
    </w:p>
    <w:p w14:paraId="509A983A" w14:textId="77777777" w:rsidR="00901C4F" w:rsidRPr="00797ED5" w:rsidRDefault="00901C4F" w:rsidP="00901C4F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5CEC010" w14:textId="77777777" w:rsidR="00901C4F" w:rsidRPr="00797ED5" w:rsidRDefault="00901C4F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77AAFB3A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74E2F8" w14:textId="77777777" w:rsidR="00901C4F" w:rsidRPr="00797ED5" w:rsidRDefault="00901C4F" w:rsidP="00901C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Изменение цены товара.</w:t>
      </w:r>
      <w:r w:rsidRPr="00797ED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>Любое изменение цены допускается только по соглашению Сторон. О намерении изменить цены на поставляемые товары Поставщик обязан письменно уведомить Покупателя, а также обосновать причину изменения цены. Уведомления об изменении цены подаются Поставщиком в виде официального письма, заверенного печатью. Уведомления об изменении цены подаются Поставщиком заблаговременно, в течение рабочей недели с понедельника по пятницу включительно. Изменение закупочных цен на товар в учетной базе Покупателя осуществляется спустя 15 календарных дней с даты получения уведомления поставщика. Если Поставщик не предоставил информацию об изменении цен в оговоренные сроки, он обязан поставлять товар по прежним ценам до момента изменения цен в учетной базе Покупателя.</w:t>
      </w:r>
    </w:p>
    <w:p w14:paraId="20342A86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0C5015D9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7762DE06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26EC953A" w14:textId="77777777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компании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(поставщика)</w:t>
      </w:r>
    </w:p>
    <w:p w14:paraId="5D258E16" w14:textId="77777777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Должность, ФИО</w:t>
      </w:r>
    </w:p>
    <w:p w14:paraId="04C8CECB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___подпись____________/МП</w:t>
      </w:r>
    </w:p>
    <w:p w14:paraId="26B1EB55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9DEE74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FD1920F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DD32F3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F86488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355720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5C366D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A0CF3B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3B1042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EB7757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4E0365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1E51BC6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674BDA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D5CAA0" w14:textId="77777777" w:rsidR="00901C4F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№3 К ПРИГЛАШЕНИЮ</w:t>
      </w:r>
    </w:p>
    <w:p w14:paraId="4ACB538F" w14:textId="77777777" w:rsidR="00901C4F" w:rsidRPr="008049DC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75518351" w14:textId="77777777" w:rsidR="00901C4F" w:rsidRPr="00797ED5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5, №6, №7, №8, №9, №10, №11, №12, №13, №14, №15, №16, №17</w:t>
      </w:r>
    </w:p>
    <w:p w14:paraId="5327A99E" w14:textId="77777777" w:rsidR="00901C4F" w:rsidRPr="00797ED5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3A30185" w14:textId="77777777" w:rsidR="00901C4F" w:rsidRPr="00797ED5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0F7E0D1B" w14:textId="77777777" w:rsidR="00901C4F" w:rsidRPr="00797ED5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p w14:paraId="71C98AB7" w14:textId="77777777" w:rsidR="00901C4F" w:rsidRPr="00797ED5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BDB7A60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2561"/>
        <w:gridCol w:w="1171"/>
        <w:gridCol w:w="1291"/>
        <w:gridCol w:w="1461"/>
        <w:gridCol w:w="1670"/>
      </w:tblGrid>
      <w:tr w:rsidR="00901C4F" w:rsidRPr="004E02A6" w14:paraId="0CE2D49B" w14:textId="77777777" w:rsidTr="00870678">
        <w:tc>
          <w:tcPr>
            <w:tcW w:w="990" w:type="dxa"/>
            <w:shd w:val="clear" w:color="auto" w:fill="auto"/>
          </w:tcPr>
          <w:p w14:paraId="0DF2A44C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561" w:type="dxa"/>
            <w:shd w:val="clear" w:color="auto" w:fill="auto"/>
          </w:tcPr>
          <w:p w14:paraId="3095AEE8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1171" w:type="dxa"/>
          </w:tcPr>
          <w:p w14:paraId="7963D611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согласно ТЗ</w:t>
            </w:r>
          </w:p>
        </w:tc>
        <w:tc>
          <w:tcPr>
            <w:tcW w:w="1291" w:type="dxa"/>
            <w:shd w:val="clear" w:color="auto" w:fill="auto"/>
          </w:tcPr>
          <w:p w14:paraId="06183793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сомах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учета налогов</w:t>
            </w:r>
          </w:p>
        </w:tc>
        <w:tc>
          <w:tcPr>
            <w:tcW w:w="1461" w:type="dxa"/>
            <w:shd w:val="clear" w:color="auto" w:fill="auto"/>
          </w:tcPr>
          <w:p w14:paraId="6A18BD5E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сомах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налогов</w:t>
            </w:r>
          </w:p>
        </w:tc>
        <w:tc>
          <w:tcPr>
            <w:tcW w:w="1670" w:type="dxa"/>
            <w:shd w:val="clear" w:color="auto" w:fill="auto"/>
          </w:tcPr>
          <w:p w14:paraId="5225BD7A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 общая цена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сомах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учетом всех применимых налогов и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доставкой до склада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г. Бишкек</w:t>
            </w:r>
          </w:p>
        </w:tc>
      </w:tr>
      <w:tr w:rsidR="00901C4F" w:rsidRPr="00797ED5" w14:paraId="03175253" w14:textId="77777777" w:rsidTr="00870678">
        <w:tc>
          <w:tcPr>
            <w:tcW w:w="990" w:type="dxa"/>
            <w:shd w:val="clear" w:color="auto" w:fill="auto"/>
          </w:tcPr>
          <w:p w14:paraId="7502E545" w14:textId="77777777" w:rsidR="00901C4F" w:rsidRPr="00797ED5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0B22734B" w14:textId="77777777" w:rsidR="00901C4F" w:rsidRPr="00F761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</w:tcPr>
          <w:p w14:paraId="43ADB506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shd w:val="clear" w:color="auto" w:fill="auto"/>
          </w:tcPr>
          <w:p w14:paraId="7A068A88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shd w:val="clear" w:color="auto" w:fill="auto"/>
          </w:tcPr>
          <w:p w14:paraId="67FD7E10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14:paraId="02DA12FE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C4F" w:rsidRPr="00797ED5" w14:paraId="0013CF3C" w14:textId="77777777" w:rsidTr="00870678">
        <w:trPr>
          <w:trHeight w:val="224"/>
        </w:trPr>
        <w:tc>
          <w:tcPr>
            <w:tcW w:w="990" w:type="dxa"/>
            <w:shd w:val="clear" w:color="auto" w:fill="auto"/>
          </w:tcPr>
          <w:p w14:paraId="30BDE889" w14:textId="77777777" w:rsidR="00901C4F" w:rsidRPr="00797ED5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008EAAF5" w14:textId="77777777" w:rsidR="00901C4F" w:rsidRPr="00F761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</w:tcPr>
          <w:p w14:paraId="7C412702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shd w:val="clear" w:color="auto" w:fill="auto"/>
          </w:tcPr>
          <w:p w14:paraId="6A8265CC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shd w:val="clear" w:color="auto" w:fill="auto"/>
          </w:tcPr>
          <w:p w14:paraId="2788220C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14:paraId="2C8EDF28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C4F" w:rsidRPr="00797ED5" w14:paraId="3A065A25" w14:textId="77777777" w:rsidTr="00870678">
        <w:tc>
          <w:tcPr>
            <w:tcW w:w="990" w:type="dxa"/>
            <w:shd w:val="clear" w:color="auto" w:fill="auto"/>
          </w:tcPr>
          <w:p w14:paraId="1301F223" w14:textId="77777777" w:rsidR="00901C4F" w:rsidRPr="00797ED5" w:rsidRDefault="00901C4F" w:rsidP="00870678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CB2EB2D" w14:textId="77777777" w:rsidR="00901C4F" w:rsidRPr="00F761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</w:tcPr>
          <w:p w14:paraId="06F50944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shd w:val="clear" w:color="auto" w:fill="auto"/>
          </w:tcPr>
          <w:p w14:paraId="017136E5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shd w:val="clear" w:color="auto" w:fill="auto"/>
          </w:tcPr>
          <w:p w14:paraId="6F53A3B7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14:paraId="76BC89FB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0BD0FF1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0194381" w14:textId="77777777" w:rsidR="00901C4F" w:rsidRPr="00437655" w:rsidRDefault="00901C4F" w:rsidP="00901C4F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3765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43765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отдельными партиями по предварительной заявке Покупателя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43765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Предварительная заявка предоставляется Поставщику не позднее 5 (пяти) календарного дня до даты предполагаемой поставки по электронной почте. </w:t>
      </w:r>
    </w:p>
    <w:p w14:paraId="343F731F" w14:textId="77777777" w:rsidR="00901C4F" w:rsidRPr="00E87925" w:rsidRDefault="00901C4F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нарушения Поставщиком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условий договора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Покупатель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вправе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наложить штрафные санкции к Поставщику в размере 0,1% за каждую просроченный день от общей суммы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но не более 10% от суммы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01303C24" w14:textId="77777777" w:rsidR="00901C4F" w:rsidRPr="00797ED5" w:rsidRDefault="00901C4F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327FD652" w14:textId="77777777" w:rsidR="00901C4F" w:rsidRPr="00797ED5" w:rsidRDefault="00901C4F" w:rsidP="00901C4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Доставка товаров осуществляется Поставщиком собственными силами и средствами на специально оборудованном для перевозки товаров подобного рода транспорте, с соблюдением санитарных норм, температурных режимов, путем их (передачи) на складе Покупателя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 адресу г. Бишкек, ул. Ибраимова, 24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D4DC5D4" w14:textId="77777777" w:rsidR="00901C4F" w:rsidRPr="00E87925" w:rsidRDefault="00901C4F" w:rsidP="00901C4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8792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Поставщик отправляет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все </w:t>
      </w:r>
      <w:r w:rsidRPr="00E8792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документы Покупателю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согласно требованиям Технического задания и условиям Договора</w:t>
      </w:r>
      <w:r w:rsidRPr="00E8792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14:paraId="5BAB4AA4" w14:textId="77777777" w:rsidR="00901C4F" w:rsidRPr="0029496C" w:rsidRDefault="00901C4F" w:rsidP="00901C4F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2949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.</w:t>
      </w:r>
      <w:r w:rsidRPr="00E8792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Оплата производ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ится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размере 100% от фактически поставленного объема, после подписания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товарно-транспортной накладн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ой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в течение 10 (десяти) банковских дней</w:t>
      </w:r>
      <w:r w:rsidRPr="00E8792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после выставления электронной товарно-транспортной накладной (ЭТТН) и электронной счет фактуры (ЭСФ) на портале Государственной налоговой службы Кыргызской Республики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555B581C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C4FFE8B" w14:textId="77777777" w:rsidR="00901C4F" w:rsidRPr="0029496C" w:rsidRDefault="00901C4F" w:rsidP="00901C4F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Датой поставки товаров считается дата приемки товаров на складе Покупателя на руднике Кумтор Иссык-Кульская область, </w:t>
      </w:r>
      <w:proofErr w:type="spellStart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Джети</w:t>
      </w:r>
      <w:proofErr w:type="spellEnd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-Огузский район в соответствии с товарно-транспортной накладной.</w:t>
      </w:r>
    </w:p>
    <w:p w14:paraId="13E4E235" w14:textId="77777777" w:rsidR="00901C4F" w:rsidRPr="00797ED5" w:rsidRDefault="00901C4F" w:rsidP="00901C4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EC6B836" w14:textId="77777777" w:rsidR="00901C4F" w:rsidRPr="0029496C" w:rsidRDefault="00901C4F" w:rsidP="00901C4F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Усушка/</w:t>
      </w:r>
      <w:r w:rsidRPr="002949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Утруска</w:t>
      </w:r>
      <w:r w:rsidRPr="002949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Стороны договорились, что Поставщики весовой продукции предоставляют Покупателю скидку, в размере 1% (одного процента) с 1 (одного) кг веса на естественную убыль весового товара.</w:t>
      </w:r>
    </w:p>
    <w:p w14:paraId="3895C8DC" w14:textId="77777777" w:rsidR="00901C4F" w:rsidRPr="00797ED5" w:rsidRDefault="00901C4F" w:rsidP="00901C4F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5476035" w14:textId="77777777" w:rsidR="00901C4F" w:rsidRPr="00797ED5" w:rsidRDefault="00901C4F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7E42CB9C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8A1143" w14:textId="77777777" w:rsidR="00901C4F" w:rsidRPr="00797ED5" w:rsidRDefault="00901C4F" w:rsidP="00901C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Изменение цены товара.</w:t>
      </w:r>
      <w:r w:rsidRPr="00797ED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>Любое изменение цены допускается только по соглашению Сторон. О намерении изменить цены на поставляемые товары Поставщик обязан письменно уведомить Покупателя, а также обосновать причину изменения цены. Уведомления об изменении цены подаются Поставщиком в виде официального письма, заверенного печатью. Уведомления об изменении цены подаются Поставщиком заблаговременно, в течение рабочей недели с понедельника по пятницу включительно. Изменение закупочных цен на товар в учетной базе Покупателя осуществляется спустя 15 календарных дней с даты получения уведомления поставщика. Если Поставщик не предоставил информацию об изменении цен в оговоренные сроки, он обязан поставлять товар по прежним ценам до момента изменения цен в учетной базе Покупателя.</w:t>
      </w:r>
    </w:p>
    <w:p w14:paraId="42C51F44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1F4D4B12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7345C36F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5667679E" w14:textId="77777777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компании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(поставщика)</w:t>
      </w:r>
    </w:p>
    <w:p w14:paraId="57FF009F" w14:textId="77777777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Должность, ФИО</w:t>
      </w:r>
    </w:p>
    <w:p w14:paraId="6CC7C700" w14:textId="77777777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___подпись____________/МП</w:t>
      </w:r>
    </w:p>
    <w:p w14:paraId="472A32C7" w14:textId="77777777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AA5578" w14:textId="77777777" w:rsidR="00901C4F" w:rsidRPr="00FC5BD8" w:rsidRDefault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901C4F" w:rsidRPr="00FC5BD8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1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88906756">
    <w:abstractNumId w:val="0"/>
  </w:num>
  <w:num w:numId="2" w16cid:durableId="1981375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0015BC"/>
    <w:rsid w:val="000035E1"/>
    <w:rsid w:val="00014184"/>
    <w:rsid w:val="000469D4"/>
    <w:rsid w:val="00077044"/>
    <w:rsid w:val="00085768"/>
    <w:rsid w:val="00090221"/>
    <w:rsid w:val="000A3692"/>
    <w:rsid w:val="000C1540"/>
    <w:rsid w:val="001A1BD3"/>
    <w:rsid w:val="00210EA4"/>
    <w:rsid w:val="00213FEA"/>
    <w:rsid w:val="00233ADA"/>
    <w:rsid w:val="00260D3E"/>
    <w:rsid w:val="00263469"/>
    <w:rsid w:val="0029496C"/>
    <w:rsid w:val="0029596D"/>
    <w:rsid w:val="002E5D7E"/>
    <w:rsid w:val="0030246C"/>
    <w:rsid w:val="00304007"/>
    <w:rsid w:val="003044F2"/>
    <w:rsid w:val="00355263"/>
    <w:rsid w:val="003E4042"/>
    <w:rsid w:val="0040493F"/>
    <w:rsid w:val="00425C87"/>
    <w:rsid w:val="004327BF"/>
    <w:rsid w:val="00437655"/>
    <w:rsid w:val="004468DE"/>
    <w:rsid w:val="004743FC"/>
    <w:rsid w:val="004A1AB1"/>
    <w:rsid w:val="004B714B"/>
    <w:rsid w:val="004E02A6"/>
    <w:rsid w:val="00522D3B"/>
    <w:rsid w:val="0052539E"/>
    <w:rsid w:val="00525816"/>
    <w:rsid w:val="00551F29"/>
    <w:rsid w:val="00567556"/>
    <w:rsid w:val="00581A68"/>
    <w:rsid w:val="0058260A"/>
    <w:rsid w:val="005840B5"/>
    <w:rsid w:val="005A222C"/>
    <w:rsid w:val="005A47C4"/>
    <w:rsid w:val="005A4BD9"/>
    <w:rsid w:val="005A7111"/>
    <w:rsid w:val="005B3FE8"/>
    <w:rsid w:val="005B65CD"/>
    <w:rsid w:val="005F7797"/>
    <w:rsid w:val="00612EEF"/>
    <w:rsid w:val="00641C6D"/>
    <w:rsid w:val="0065155B"/>
    <w:rsid w:val="006835BF"/>
    <w:rsid w:val="00693E1C"/>
    <w:rsid w:val="006A4EB1"/>
    <w:rsid w:val="006B3FFA"/>
    <w:rsid w:val="0078053B"/>
    <w:rsid w:val="00791BF4"/>
    <w:rsid w:val="007A30FF"/>
    <w:rsid w:val="007C3BA3"/>
    <w:rsid w:val="007E5EF2"/>
    <w:rsid w:val="00802370"/>
    <w:rsid w:val="008049DC"/>
    <w:rsid w:val="008109F5"/>
    <w:rsid w:val="008313C7"/>
    <w:rsid w:val="0087045F"/>
    <w:rsid w:val="00874A0D"/>
    <w:rsid w:val="00892352"/>
    <w:rsid w:val="008956F1"/>
    <w:rsid w:val="008A3FAA"/>
    <w:rsid w:val="008E7AB0"/>
    <w:rsid w:val="00901C4F"/>
    <w:rsid w:val="00906008"/>
    <w:rsid w:val="00942630"/>
    <w:rsid w:val="009545FF"/>
    <w:rsid w:val="009A40B3"/>
    <w:rsid w:val="00A322CC"/>
    <w:rsid w:val="00A43505"/>
    <w:rsid w:val="00A86B56"/>
    <w:rsid w:val="00AF02B7"/>
    <w:rsid w:val="00B21437"/>
    <w:rsid w:val="00B2286A"/>
    <w:rsid w:val="00B500A2"/>
    <w:rsid w:val="00B90D8D"/>
    <w:rsid w:val="00BA17B7"/>
    <w:rsid w:val="00BF6ABE"/>
    <w:rsid w:val="00C54096"/>
    <w:rsid w:val="00C8254C"/>
    <w:rsid w:val="00CB39F2"/>
    <w:rsid w:val="00CB71A1"/>
    <w:rsid w:val="00CC0698"/>
    <w:rsid w:val="00D10C71"/>
    <w:rsid w:val="00D243EA"/>
    <w:rsid w:val="00D453B5"/>
    <w:rsid w:val="00D670E3"/>
    <w:rsid w:val="00D85A2D"/>
    <w:rsid w:val="00DD7E82"/>
    <w:rsid w:val="00DE3CF4"/>
    <w:rsid w:val="00E4724F"/>
    <w:rsid w:val="00E6372E"/>
    <w:rsid w:val="00E87925"/>
    <w:rsid w:val="00EC6B52"/>
    <w:rsid w:val="00ED3FC8"/>
    <w:rsid w:val="00ED6E5F"/>
    <w:rsid w:val="00EE1ED6"/>
    <w:rsid w:val="00EF5439"/>
    <w:rsid w:val="00F13A0F"/>
    <w:rsid w:val="00F21FED"/>
    <w:rsid w:val="00F417F6"/>
    <w:rsid w:val="00F41C20"/>
    <w:rsid w:val="00F761BE"/>
    <w:rsid w:val="00F81AFF"/>
    <w:rsid w:val="00FA5AC6"/>
    <w:rsid w:val="00FA65AD"/>
    <w:rsid w:val="00FB26AD"/>
    <w:rsid w:val="00FC5BD8"/>
    <w:rsid w:val="00FC7774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DC"/>
    <w:pPr>
      <w:ind w:left="720"/>
      <w:contextualSpacing/>
    </w:pPr>
  </w:style>
  <w:style w:type="paragraph" w:styleId="a4">
    <w:name w:val="Revision"/>
    <w:hidden/>
    <w:uiPriority w:val="99"/>
    <w:semiHidden/>
    <w:rsid w:val="00355263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2E5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Zarina Andasheva</cp:lastModifiedBy>
  <cp:revision>53</cp:revision>
  <cp:lastPrinted>2025-03-18T03:08:00Z</cp:lastPrinted>
  <dcterms:created xsi:type="dcterms:W3CDTF">2025-03-12T03:23:00Z</dcterms:created>
  <dcterms:modified xsi:type="dcterms:W3CDTF">2025-03-18T09:54:00Z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